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3C66" w14:textId="061A156F" w:rsidR="00B340AC" w:rsidRPr="00DC734B" w:rsidRDefault="004A0C3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DC734B">
        <w:rPr>
          <w:b/>
          <w:sz w:val="28"/>
          <w:szCs w:val="28"/>
          <w:u w:val="single"/>
        </w:rPr>
        <w:t xml:space="preserve">Annual </w:t>
      </w:r>
      <w:r w:rsidR="00490381">
        <w:rPr>
          <w:b/>
          <w:sz w:val="28"/>
          <w:szCs w:val="28"/>
          <w:u w:val="single"/>
        </w:rPr>
        <w:t>Technical</w:t>
      </w:r>
      <w:r w:rsidRPr="00DC734B">
        <w:rPr>
          <w:b/>
          <w:sz w:val="28"/>
          <w:szCs w:val="28"/>
          <w:u w:val="single"/>
        </w:rPr>
        <w:t xml:space="preserve"> Report</w:t>
      </w:r>
      <w:r w:rsidR="006E06E4">
        <w:rPr>
          <w:b/>
          <w:sz w:val="28"/>
          <w:szCs w:val="28"/>
          <w:u w:val="single"/>
        </w:rPr>
        <w:t xml:space="preserve"> (VIC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734CFBB4" w14:textId="4575F18E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 xml:space="preserve">This action definition describes what needs to be done to lodge an annual </w:t>
      </w:r>
      <w:r w:rsidR="00490381">
        <w:rPr>
          <w:sz w:val="24"/>
          <w:szCs w:val="24"/>
        </w:rPr>
        <w:t>technical</w:t>
      </w:r>
      <w:r w:rsidRPr="00DC734B">
        <w:rPr>
          <w:sz w:val="24"/>
          <w:szCs w:val="24"/>
        </w:rPr>
        <w:t xml:space="preserve"> report </w:t>
      </w:r>
      <w:r w:rsidR="00AD424B">
        <w:rPr>
          <w:sz w:val="24"/>
          <w:szCs w:val="24"/>
        </w:rPr>
        <w:t>for a Victorian tenement</w:t>
      </w:r>
      <w:r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080C40B2" w14:textId="77777777" w:rsidTr="00C85E2E">
        <w:tc>
          <w:tcPr>
            <w:tcW w:w="3369" w:type="dxa"/>
          </w:tcPr>
          <w:p w14:paraId="6B6122BF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87EEB0F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591AA083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6D8CB61A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1EF80D78" w14:textId="77777777" w:rsidTr="00451608">
        <w:tc>
          <w:tcPr>
            <w:tcW w:w="11199" w:type="dxa"/>
            <w:gridSpan w:val="3"/>
            <w:shd w:val="pct15" w:color="auto" w:fill="auto"/>
          </w:tcPr>
          <w:p w14:paraId="4A32EE98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523E4CF0" w14:textId="77777777" w:rsidTr="00BA4A91">
        <w:tc>
          <w:tcPr>
            <w:tcW w:w="3403" w:type="dxa"/>
          </w:tcPr>
          <w:p w14:paraId="2D297CAD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BA0C8A6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93464F1" w14:textId="77777777" w:rsidTr="00123FB7">
        <w:tc>
          <w:tcPr>
            <w:tcW w:w="3403" w:type="dxa"/>
          </w:tcPr>
          <w:p w14:paraId="3B1A7BB7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208DDDF" w14:textId="77777777" w:rsidR="00A6052B" w:rsidRPr="00DC734B" w:rsidRDefault="004A0C31" w:rsidP="006E06E4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</w:t>
            </w:r>
            <w:r w:rsidR="00CE3C6E" w:rsidRPr="00DC734B">
              <w:rPr>
                <w:sz w:val="24"/>
                <w:szCs w:val="24"/>
              </w:rPr>
              <w:t xml:space="preserve"> </w:t>
            </w:r>
            <w:r w:rsidR="006E06E4">
              <w:rPr>
                <w:sz w:val="24"/>
                <w:szCs w:val="24"/>
              </w:rPr>
              <w:t>Technical</w:t>
            </w:r>
            <w:r w:rsidRPr="00DC734B">
              <w:rPr>
                <w:sz w:val="24"/>
                <w:szCs w:val="24"/>
              </w:rPr>
              <w:t xml:space="preserve"> Report</w:t>
            </w:r>
          </w:p>
        </w:tc>
      </w:tr>
      <w:tr w:rsidR="00A6052B" w:rsidRPr="00DC734B" w14:paraId="5063BA72" w14:textId="77777777" w:rsidTr="00123FB7">
        <w:tc>
          <w:tcPr>
            <w:tcW w:w="3403" w:type="dxa"/>
          </w:tcPr>
          <w:p w14:paraId="5A113C7B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24A1DBD" w14:textId="77777777" w:rsidR="00A6052B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F4507B" w:rsidRPr="00D330B0" w14:paraId="4018747C" w14:textId="77777777" w:rsidTr="00DC3A6E">
        <w:tc>
          <w:tcPr>
            <w:tcW w:w="3403" w:type="dxa"/>
          </w:tcPr>
          <w:p w14:paraId="1CF478A4" w14:textId="77777777" w:rsidR="00F4507B" w:rsidRPr="00683F3C" w:rsidRDefault="00F4507B" w:rsidP="00DC3A6E">
            <w:pPr>
              <w:jc w:val="right"/>
              <w:rPr>
                <w:b/>
                <w:sz w:val="24"/>
                <w:szCs w:val="24"/>
              </w:rPr>
            </w:pPr>
            <w:r w:rsidRPr="00683F3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9C4DB28" w14:textId="77777777" w:rsidR="00F4507B" w:rsidRPr="00683F3C" w:rsidRDefault="00F4507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83F3C">
              <w:rPr>
                <w:sz w:val="24"/>
                <w:szCs w:val="24"/>
              </w:rPr>
              <w:t>Managed</w:t>
            </w:r>
          </w:p>
        </w:tc>
      </w:tr>
      <w:tr w:rsidR="0082309D" w:rsidRPr="00DC734B" w14:paraId="5A0E2EBE" w14:textId="77777777" w:rsidTr="0082309D">
        <w:tc>
          <w:tcPr>
            <w:tcW w:w="3403" w:type="dxa"/>
          </w:tcPr>
          <w:p w14:paraId="512B25D4" w14:textId="77777777" w:rsidR="0082309D" w:rsidRPr="00DC734B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572894" w14:textId="0EE951F0" w:rsidR="0082309D" w:rsidRPr="00DC734B" w:rsidRDefault="00425EFE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</w:t>
            </w:r>
            <w:r w:rsidR="0082309D" w:rsidRPr="00DC734B">
              <w:rPr>
                <w:rStyle w:val="FootnoteReference"/>
                <w:sz w:val="24"/>
                <w:szCs w:val="24"/>
              </w:rPr>
              <w:footnoteReference w:id="2"/>
            </w:r>
            <w:r w:rsidR="0082309D" w:rsidRPr="00DC7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DBCAB8D" w14:textId="77777777" w:rsidR="0082309D" w:rsidRPr="00DC734B" w:rsidRDefault="0082309D" w:rsidP="006E06E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= {</w:t>
            </w:r>
            <w:proofErr w:type="spellStart"/>
            <w:r w:rsidR="006E06E4">
              <w:rPr>
                <w:sz w:val="24"/>
                <w:szCs w:val="24"/>
              </w:rPr>
              <w:t>ReportingDate</w:t>
            </w:r>
            <w:proofErr w:type="spellEnd"/>
            <w:r w:rsidRPr="00DC734B">
              <w:rPr>
                <w:sz w:val="24"/>
                <w:szCs w:val="24"/>
              </w:rPr>
              <w:t>} + {Interval}</w:t>
            </w:r>
          </w:p>
        </w:tc>
      </w:tr>
      <w:tr w:rsidR="0082309D" w:rsidRPr="00DC734B" w14:paraId="41BF1779" w14:textId="77777777" w:rsidTr="000E3EC1">
        <w:tc>
          <w:tcPr>
            <w:tcW w:w="3403" w:type="dxa"/>
          </w:tcPr>
          <w:p w14:paraId="6D2405CA" w14:textId="77777777" w:rsidR="0082309D" w:rsidRPr="00DC734B" w:rsidRDefault="0082309D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9FEFD43" w14:textId="77777777" w:rsidR="0082309D" w:rsidRPr="00DC734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Deadline</w:t>
            </w:r>
            <w:r w:rsidRPr="00DC734B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6646B5F3" w14:textId="77777777" w:rsidR="0082309D" w:rsidRPr="00DC734B" w:rsidRDefault="0082309D" w:rsidP="006E06E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= {Critical Date} + </w:t>
            </w:r>
            <w:r w:rsidR="006E06E4">
              <w:rPr>
                <w:sz w:val="24"/>
                <w:szCs w:val="24"/>
              </w:rPr>
              <w:t>27</w:t>
            </w:r>
            <w:r w:rsidRPr="00DC734B">
              <w:rPr>
                <w:sz w:val="24"/>
                <w:szCs w:val="24"/>
              </w:rPr>
              <w:t xml:space="preserve"> days</w:t>
            </w:r>
          </w:p>
        </w:tc>
      </w:tr>
    </w:tbl>
    <w:p w14:paraId="0304ABAC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1443"/>
        <w:gridCol w:w="2239"/>
      </w:tblGrid>
      <w:tr w:rsidR="005A6828" w:rsidRPr="00DC734B" w14:paraId="155B37EA" w14:textId="77777777" w:rsidTr="00DC734B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AA1BA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8B393D" w:rsidRPr="00DC734B" w14:paraId="1564FB0D" w14:textId="44B168C7" w:rsidTr="007F6E37">
        <w:tc>
          <w:tcPr>
            <w:tcW w:w="2694" w:type="dxa"/>
            <w:shd w:val="clear" w:color="auto" w:fill="D9D9D9" w:themeFill="background1" w:themeFillShade="D9"/>
          </w:tcPr>
          <w:p w14:paraId="677CC03B" w14:textId="77777777" w:rsidR="008B393D" w:rsidRPr="00DC734B" w:rsidRDefault="008B393D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37E7886D" w14:textId="77777777" w:rsidR="008B393D" w:rsidRPr="00DC734B" w:rsidRDefault="008B393D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48699424" w14:textId="77777777" w:rsidR="008B393D" w:rsidRPr="00DC734B" w:rsidRDefault="008B393D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650D73AF" w14:textId="2F98BF51" w:rsidR="008B393D" w:rsidRPr="00DC734B" w:rsidRDefault="008B393D" w:rsidP="008B393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tr w:rsidR="008B393D" w:rsidRPr="00C36FE1" w14:paraId="5EDFE7CF" w14:textId="20F096A7" w:rsidTr="007F6E37">
        <w:tc>
          <w:tcPr>
            <w:tcW w:w="2694" w:type="dxa"/>
            <w:shd w:val="clear" w:color="auto" w:fill="D6E3BC" w:themeFill="accent3" w:themeFillTint="66"/>
          </w:tcPr>
          <w:p w14:paraId="5DFFF09F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EBEE7DE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 w14:paraId="3CD1FCE6" w14:textId="77777777" w:rsidR="008B393D" w:rsidRPr="009328B3" w:rsidRDefault="008B393D" w:rsidP="006E06E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6E3BC" w:themeFill="accent3" w:themeFillTint="66"/>
          </w:tcPr>
          <w:p w14:paraId="48D03B11" w14:textId="0FDC7E7F" w:rsidR="008B393D" w:rsidRPr="007F6E37" w:rsidRDefault="008B393D" w:rsidP="007F6E37">
            <w:pPr>
              <w:rPr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B393D" w:rsidRPr="00C36FE1" w14:paraId="17A0A173" w14:textId="45154CC2" w:rsidTr="007F6E37">
        <w:tc>
          <w:tcPr>
            <w:tcW w:w="2694" w:type="dxa"/>
            <w:shd w:val="clear" w:color="auto" w:fill="D6E3BC" w:themeFill="accent3" w:themeFillTint="66"/>
          </w:tcPr>
          <w:p w14:paraId="4ECCCB63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21A370FB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 xml:space="preserve">Mining </w:t>
            </w: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 w14:paraId="163202C3" w14:textId="77777777" w:rsidR="008B393D" w:rsidRPr="009328B3" w:rsidRDefault="008B393D" w:rsidP="006E06E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6E3BC" w:themeFill="accent3" w:themeFillTint="66"/>
          </w:tcPr>
          <w:p w14:paraId="5D2E999F" w14:textId="27BCCBED" w:rsidR="008B393D" w:rsidRPr="007F6E37" w:rsidRDefault="008B393D" w:rsidP="007F6E37">
            <w:pPr>
              <w:rPr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B393D" w:rsidRPr="00C36FE1" w14:paraId="692FFED7" w14:textId="59E00361" w:rsidTr="007F6E37">
        <w:tc>
          <w:tcPr>
            <w:tcW w:w="2694" w:type="dxa"/>
            <w:shd w:val="clear" w:color="auto" w:fill="D6E3BC" w:themeFill="accent3" w:themeFillTint="66"/>
          </w:tcPr>
          <w:p w14:paraId="085E6B82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294F0C95" w14:textId="77777777" w:rsidR="008B393D" w:rsidRPr="009328B3" w:rsidRDefault="008B393D" w:rsidP="006E06E4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Retention Licence</w:t>
            </w:r>
          </w:p>
        </w:tc>
        <w:tc>
          <w:tcPr>
            <w:tcW w:w="1443" w:type="dxa"/>
            <w:shd w:val="clear" w:color="auto" w:fill="D6E3BC" w:themeFill="accent3" w:themeFillTint="66"/>
          </w:tcPr>
          <w:p w14:paraId="58A26600" w14:textId="77777777" w:rsidR="008B393D" w:rsidRPr="009328B3" w:rsidRDefault="008B393D" w:rsidP="006E06E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6E3BC" w:themeFill="accent3" w:themeFillTint="66"/>
          </w:tcPr>
          <w:p w14:paraId="01EE8BD7" w14:textId="10E8026A" w:rsidR="008B393D" w:rsidRPr="007F6E37" w:rsidRDefault="008B393D" w:rsidP="007F6E37">
            <w:pPr>
              <w:rPr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B393D" w:rsidRPr="00DC734B" w14:paraId="47FA5C82" w14:textId="1B7E96C8" w:rsidTr="007F6E37">
        <w:tc>
          <w:tcPr>
            <w:tcW w:w="2694" w:type="dxa"/>
            <w:shd w:val="clear" w:color="auto" w:fill="D6E3BC" w:themeFill="accent3" w:themeFillTint="66"/>
          </w:tcPr>
          <w:p w14:paraId="71506D12" w14:textId="77777777" w:rsidR="008B393D" w:rsidRPr="00DC734B" w:rsidRDefault="008B393D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35754C1E" w14:textId="77777777" w:rsidR="008B393D" w:rsidRPr="00DC734B" w:rsidRDefault="008B393D" w:rsidP="00DC734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D6E3BC" w:themeFill="accent3" w:themeFillTint="66"/>
          </w:tcPr>
          <w:p w14:paraId="6FF5E90C" w14:textId="77777777" w:rsidR="008B393D" w:rsidRPr="00DC734B" w:rsidRDefault="008B393D" w:rsidP="00DC734B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D6E3BC" w:themeFill="accent3" w:themeFillTint="66"/>
          </w:tcPr>
          <w:p w14:paraId="626B4734" w14:textId="77777777" w:rsidR="008B393D" w:rsidRPr="008B393D" w:rsidRDefault="008B393D" w:rsidP="008B393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6ABBB779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E42BE37" w14:textId="77777777" w:rsidTr="00451608">
        <w:tc>
          <w:tcPr>
            <w:tcW w:w="11199" w:type="dxa"/>
            <w:gridSpan w:val="2"/>
            <w:shd w:val="pct15" w:color="auto" w:fill="auto"/>
          </w:tcPr>
          <w:p w14:paraId="3E7A8B67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662B9B7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61882EFA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07F1558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662A33" w:rsidRPr="00DC734B" w14:paraId="787BA1FE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47B9F22" w14:textId="77777777" w:rsidR="00662A33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594CCA5" w14:textId="77777777" w:rsidR="00662A33" w:rsidRPr="00DC734B" w:rsidRDefault="00657263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AEE" w:rsidRPr="00DC734B">
              <w:rPr>
                <w:sz w:val="24"/>
                <w:szCs w:val="24"/>
              </w:rPr>
              <w:t>0</w:t>
            </w:r>
            <w:r w:rsidR="00662A33" w:rsidRPr="00DC734B">
              <w:rPr>
                <w:sz w:val="24"/>
                <w:szCs w:val="24"/>
              </w:rPr>
              <w:t>d</w:t>
            </w:r>
          </w:p>
        </w:tc>
      </w:tr>
      <w:tr w:rsidR="00C73B50" w:rsidRPr="00DC734B" w14:paraId="34F004F1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3A027520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Generate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B541D2D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50d</w:t>
            </w:r>
          </w:p>
        </w:tc>
      </w:tr>
      <w:tr w:rsidR="003B5787" w:rsidRPr="00DC734B" w14:paraId="37F94518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6FA50DD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Lodge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BFD1AC7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5d</w:t>
            </w:r>
          </w:p>
        </w:tc>
      </w:tr>
      <w:tr w:rsidR="003B5787" w:rsidRPr="00DC734B" w14:paraId="1CE4B5B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0DC8CD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58144695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D1D1E48" w14:textId="77777777" w:rsidR="001B5FFA" w:rsidRPr="00AD42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AD424B">
        <w:rPr>
          <w:i/>
          <w:sz w:val="18"/>
          <w:szCs w:val="18"/>
          <w:u w:val="single"/>
        </w:rPr>
        <w:t>Note</w:t>
      </w:r>
      <w:r w:rsidRPr="00AD424B">
        <w:rPr>
          <w:i/>
          <w:sz w:val="18"/>
          <w:szCs w:val="18"/>
        </w:rPr>
        <w:t xml:space="preserve">: </w:t>
      </w:r>
      <w:r w:rsidR="00D40AE0" w:rsidRPr="00AD424B">
        <w:rPr>
          <w:i/>
          <w:sz w:val="18"/>
          <w:szCs w:val="18"/>
        </w:rPr>
        <w:t>Task List</w:t>
      </w:r>
      <w:r w:rsidR="00481E35" w:rsidRPr="00AD42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AD424B">
        <w:rPr>
          <w:i/>
          <w:sz w:val="18"/>
          <w:szCs w:val="18"/>
        </w:rPr>
        <w:t>B</w:t>
      </w:r>
      <w:r w:rsidR="00481E35" w:rsidRPr="00AD424B">
        <w:rPr>
          <w:i/>
          <w:sz w:val="18"/>
          <w:szCs w:val="18"/>
        </w:rPr>
        <w:t xml:space="preserve">efore the Deadline. </w:t>
      </w:r>
      <w:r w:rsidR="00D40AE0" w:rsidRPr="00AD424B">
        <w:rPr>
          <w:i/>
          <w:sz w:val="18"/>
          <w:szCs w:val="18"/>
        </w:rPr>
        <w:t>Task List</w:t>
      </w:r>
      <w:r w:rsidR="00481E35" w:rsidRPr="00AD42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AD424B">
        <w:rPr>
          <w:i/>
          <w:sz w:val="18"/>
          <w:szCs w:val="18"/>
        </w:rPr>
        <w:t>Task List</w:t>
      </w:r>
      <w:r w:rsidR="00481E35" w:rsidRPr="00AD424B">
        <w:rPr>
          <w:i/>
          <w:sz w:val="18"/>
          <w:szCs w:val="18"/>
        </w:rPr>
        <w:t xml:space="preserve"> items as you wish. </w:t>
      </w:r>
      <w:r w:rsidRPr="00AD424B">
        <w:rPr>
          <w:i/>
          <w:sz w:val="18"/>
          <w:szCs w:val="18"/>
        </w:rPr>
        <w:t xml:space="preserve">If a </w:t>
      </w:r>
      <w:r w:rsidR="00D40AE0" w:rsidRPr="00AD424B">
        <w:rPr>
          <w:i/>
          <w:sz w:val="18"/>
          <w:szCs w:val="18"/>
        </w:rPr>
        <w:t>Task List</w:t>
      </w:r>
      <w:r w:rsidRPr="00AD424B">
        <w:rPr>
          <w:i/>
          <w:sz w:val="18"/>
          <w:szCs w:val="18"/>
        </w:rPr>
        <w:t xml:space="preserve"> item has no Days </w:t>
      </w:r>
      <w:r w:rsidR="00481E35" w:rsidRPr="00AD424B">
        <w:rPr>
          <w:i/>
          <w:sz w:val="18"/>
          <w:szCs w:val="18"/>
        </w:rPr>
        <w:t>N</w:t>
      </w:r>
      <w:r w:rsidRPr="00AD424B">
        <w:rPr>
          <w:i/>
          <w:sz w:val="18"/>
          <w:szCs w:val="18"/>
        </w:rPr>
        <w:t xml:space="preserve">eeded Before Deadline entered then it will default to the previous </w:t>
      </w:r>
      <w:r w:rsidR="00D40AE0" w:rsidRPr="00AD424B">
        <w:rPr>
          <w:i/>
          <w:sz w:val="18"/>
          <w:szCs w:val="18"/>
        </w:rPr>
        <w:t>Task List</w:t>
      </w:r>
      <w:r w:rsidRPr="00AD424B">
        <w:rPr>
          <w:i/>
          <w:sz w:val="18"/>
          <w:szCs w:val="18"/>
        </w:rPr>
        <w:t xml:space="preserve"> item Days Needed Before Deadline.</w:t>
      </w:r>
    </w:p>
    <w:p w14:paraId="4B48537E" w14:textId="4A0387A4" w:rsidR="006A3414" w:rsidRDefault="00720331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</w:rPr>
        <w:t xml:space="preserve"> 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8"/>
        <w:gridCol w:w="8662"/>
      </w:tblGrid>
      <w:tr w:rsidR="003D7262" w:rsidRPr="009328B3" w14:paraId="1C26B40F" w14:textId="77777777" w:rsidTr="007651F0">
        <w:tc>
          <w:tcPr>
            <w:tcW w:w="11199" w:type="dxa"/>
            <w:gridSpan w:val="3"/>
            <w:shd w:val="pct15" w:color="auto" w:fill="auto"/>
          </w:tcPr>
          <w:p w14:paraId="30B7F45F" w14:textId="77777777" w:rsidR="003D7262" w:rsidRPr="003D7262" w:rsidRDefault="007311AF" w:rsidP="00765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3D7262" w:rsidRPr="009328B3" w14:paraId="6C65FD2D" w14:textId="77777777" w:rsidTr="0095157E">
        <w:tc>
          <w:tcPr>
            <w:tcW w:w="1166" w:type="dxa"/>
            <w:shd w:val="clear" w:color="auto" w:fill="D9D9D9" w:themeFill="background1" w:themeFillShade="D9"/>
          </w:tcPr>
          <w:p w14:paraId="13D66B3C" w14:textId="77777777" w:rsidR="003D7262" w:rsidRPr="003D7262" w:rsidRDefault="005A4699" w:rsidP="00765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23DC90B9" w14:textId="77777777" w:rsidR="003D7262" w:rsidRPr="003D7262" w:rsidRDefault="005A4699" w:rsidP="00765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900" w:type="dxa"/>
            <w:shd w:val="clear" w:color="auto" w:fill="D9D9D9" w:themeFill="background1" w:themeFillShade="D9"/>
          </w:tcPr>
          <w:p w14:paraId="5FA8DE53" w14:textId="77777777" w:rsidR="003D7262" w:rsidRPr="003D7262" w:rsidRDefault="003D7262" w:rsidP="003D7262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95157E" w:rsidRPr="009328B3" w14:paraId="5CFD53CA" w14:textId="77777777" w:rsidTr="0095157E">
        <w:trPr>
          <w:trHeight w:val="279"/>
        </w:trPr>
        <w:tc>
          <w:tcPr>
            <w:tcW w:w="1166" w:type="dxa"/>
            <w:shd w:val="clear" w:color="auto" w:fill="auto"/>
          </w:tcPr>
          <w:p w14:paraId="1FAE9E30" w14:textId="6F74BE05" w:rsidR="0095157E" w:rsidRPr="003D7262" w:rsidRDefault="00AA2F3E" w:rsidP="0095157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33" w:type="dxa"/>
            <w:shd w:val="clear" w:color="auto" w:fill="auto"/>
          </w:tcPr>
          <w:p w14:paraId="08F74E37" w14:textId="28BFDF08" w:rsidR="0095157E" w:rsidRPr="003D7262" w:rsidRDefault="00AA2F3E" w:rsidP="0095157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900" w:type="dxa"/>
            <w:shd w:val="clear" w:color="auto" w:fill="auto"/>
          </w:tcPr>
          <w:p w14:paraId="12803EFE" w14:textId="3BE6C9E3" w:rsidR="0095157E" w:rsidRPr="003D7262" w:rsidRDefault="00AA2F3E" w:rsidP="0095157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fields, test field and wiki links</w:t>
            </w:r>
          </w:p>
        </w:tc>
      </w:tr>
      <w:tr w:rsidR="00AA2F3E" w:rsidRPr="009328B3" w14:paraId="03FD5FC5" w14:textId="77777777" w:rsidTr="0095157E">
        <w:tc>
          <w:tcPr>
            <w:tcW w:w="1166" w:type="dxa"/>
            <w:shd w:val="clear" w:color="auto" w:fill="auto"/>
          </w:tcPr>
          <w:p w14:paraId="7D844B17" w14:textId="4DDB4E5D" w:rsidR="00AA2F3E" w:rsidRPr="003D7262" w:rsidRDefault="00AA2F3E" w:rsidP="00AA2F3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33" w:type="dxa"/>
            <w:shd w:val="clear" w:color="auto" w:fill="auto"/>
          </w:tcPr>
          <w:p w14:paraId="5741A1F9" w14:textId="715A2085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900" w:type="dxa"/>
            <w:shd w:val="clear" w:color="auto" w:fill="auto"/>
          </w:tcPr>
          <w:p w14:paraId="0BEFA799" w14:textId="299E8D3F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AA2F3E" w:rsidRPr="009328B3" w14:paraId="0C56B1FE" w14:textId="77777777" w:rsidTr="0095157E">
        <w:tc>
          <w:tcPr>
            <w:tcW w:w="1166" w:type="dxa"/>
            <w:shd w:val="clear" w:color="auto" w:fill="auto"/>
          </w:tcPr>
          <w:p w14:paraId="2A4FAB1C" w14:textId="429D7856" w:rsidR="00AA2F3E" w:rsidRPr="003D7262" w:rsidRDefault="00AA2F3E" w:rsidP="00AA2F3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1/2/2017</w:t>
            </w:r>
          </w:p>
        </w:tc>
        <w:tc>
          <w:tcPr>
            <w:tcW w:w="1133" w:type="dxa"/>
            <w:shd w:val="clear" w:color="auto" w:fill="auto"/>
          </w:tcPr>
          <w:p w14:paraId="4D6420E5" w14:textId="2E1E5BE7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900" w:type="dxa"/>
            <w:shd w:val="clear" w:color="auto" w:fill="auto"/>
          </w:tcPr>
          <w:p w14:paraId="154ED539" w14:textId="5DB86C88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A2F3E" w:rsidRPr="009328B3" w14:paraId="722B56AF" w14:textId="77777777" w:rsidTr="0095157E">
        <w:tc>
          <w:tcPr>
            <w:tcW w:w="1166" w:type="dxa"/>
            <w:shd w:val="clear" w:color="auto" w:fill="auto"/>
          </w:tcPr>
          <w:p w14:paraId="74F71F48" w14:textId="77777777" w:rsidR="00AA2F3E" w:rsidRPr="003D7262" w:rsidRDefault="00AA2F3E" w:rsidP="00AA2F3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47780E55" w14:textId="77777777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900" w:type="dxa"/>
            <w:shd w:val="clear" w:color="auto" w:fill="auto"/>
          </w:tcPr>
          <w:p w14:paraId="63CAB269" w14:textId="77777777" w:rsidR="00AA2F3E" w:rsidRPr="003D7262" w:rsidRDefault="00AA2F3E" w:rsidP="00AA2F3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3A97109" w14:textId="77777777" w:rsidR="003D7262" w:rsidRPr="00DC734B" w:rsidRDefault="003D7262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3D7262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2643" w14:textId="77777777" w:rsidR="00EB2087" w:rsidRDefault="00EB2087" w:rsidP="00890EB0">
      <w:pPr>
        <w:spacing w:after="0" w:line="240" w:lineRule="auto"/>
      </w:pPr>
      <w:r>
        <w:separator/>
      </w:r>
    </w:p>
  </w:endnote>
  <w:endnote w:type="continuationSeparator" w:id="0">
    <w:p w14:paraId="1BAF0C78" w14:textId="77777777" w:rsidR="00EB2087" w:rsidRDefault="00EB2087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84D2" w14:textId="77777777" w:rsidR="00EB2087" w:rsidRDefault="00EB2087" w:rsidP="00890EB0">
      <w:pPr>
        <w:spacing w:after="0" w:line="240" w:lineRule="auto"/>
      </w:pPr>
      <w:r>
        <w:separator/>
      </w:r>
    </w:p>
  </w:footnote>
  <w:footnote w:type="continuationSeparator" w:id="0">
    <w:p w14:paraId="5B068381" w14:textId="77777777" w:rsidR="00EB2087" w:rsidRDefault="00EB2087" w:rsidP="00890EB0">
      <w:pPr>
        <w:spacing w:after="0" w:line="240" w:lineRule="auto"/>
      </w:pPr>
      <w:r>
        <w:continuationSeparator/>
      </w:r>
    </w:p>
  </w:footnote>
  <w:footnote w:id="1">
    <w:p w14:paraId="53A777B0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5AA78675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67DE2971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49991">
    <w:abstractNumId w:val="1"/>
  </w:num>
  <w:num w:numId="2" w16cid:durableId="2841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73080"/>
    <w:rsid w:val="00080923"/>
    <w:rsid w:val="0009418F"/>
    <w:rsid w:val="000A4578"/>
    <w:rsid w:val="000A678E"/>
    <w:rsid w:val="000B3C2E"/>
    <w:rsid w:val="000C1DE0"/>
    <w:rsid w:val="000C2712"/>
    <w:rsid w:val="000E3EC1"/>
    <w:rsid w:val="00123FB7"/>
    <w:rsid w:val="00185B07"/>
    <w:rsid w:val="00192AEE"/>
    <w:rsid w:val="001947F8"/>
    <w:rsid w:val="001B5FFA"/>
    <w:rsid w:val="00214D96"/>
    <w:rsid w:val="002A49F9"/>
    <w:rsid w:val="002A67E5"/>
    <w:rsid w:val="002B7D68"/>
    <w:rsid w:val="002F73AD"/>
    <w:rsid w:val="00331E4E"/>
    <w:rsid w:val="00334D03"/>
    <w:rsid w:val="0036466A"/>
    <w:rsid w:val="00396457"/>
    <w:rsid w:val="003A582E"/>
    <w:rsid w:val="003B116C"/>
    <w:rsid w:val="003B5787"/>
    <w:rsid w:val="003C41A5"/>
    <w:rsid w:val="003D7262"/>
    <w:rsid w:val="00417052"/>
    <w:rsid w:val="00425EFE"/>
    <w:rsid w:val="00426363"/>
    <w:rsid w:val="00451608"/>
    <w:rsid w:val="0045568C"/>
    <w:rsid w:val="00481E35"/>
    <w:rsid w:val="00490381"/>
    <w:rsid w:val="00490C7F"/>
    <w:rsid w:val="0049354A"/>
    <w:rsid w:val="004A0C31"/>
    <w:rsid w:val="004B70A8"/>
    <w:rsid w:val="005031B3"/>
    <w:rsid w:val="00506105"/>
    <w:rsid w:val="005A4699"/>
    <w:rsid w:val="005A6828"/>
    <w:rsid w:val="005E587B"/>
    <w:rsid w:val="005F12A7"/>
    <w:rsid w:val="0062371B"/>
    <w:rsid w:val="00657263"/>
    <w:rsid w:val="00662A33"/>
    <w:rsid w:val="00683F3C"/>
    <w:rsid w:val="0068404D"/>
    <w:rsid w:val="006A3414"/>
    <w:rsid w:val="006A7C15"/>
    <w:rsid w:val="006E06E4"/>
    <w:rsid w:val="00701A9E"/>
    <w:rsid w:val="00720331"/>
    <w:rsid w:val="007311AF"/>
    <w:rsid w:val="00735FB9"/>
    <w:rsid w:val="00757F72"/>
    <w:rsid w:val="007614B0"/>
    <w:rsid w:val="0077091E"/>
    <w:rsid w:val="007D5CA7"/>
    <w:rsid w:val="007F6E37"/>
    <w:rsid w:val="0082309D"/>
    <w:rsid w:val="00825BA6"/>
    <w:rsid w:val="0082619C"/>
    <w:rsid w:val="00845B16"/>
    <w:rsid w:val="00845CD6"/>
    <w:rsid w:val="00850DE2"/>
    <w:rsid w:val="008767A7"/>
    <w:rsid w:val="00890EB0"/>
    <w:rsid w:val="00890EC9"/>
    <w:rsid w:val="008B393D"/>
    <w:rsid w:val="008D1D34"/>
    <w:rsid w:val="0095157E"/>
    <w:rsid w:val="00962A19"/>
    <w:rsid w:val="009862B0"/>
    <w:rsid w:val="009A25DD"/>
    <w:rsid w:val="009A3D0E"/>
    <w:rsid w:val="009C1606"/>
    <w:rsid w:val="009D34CF"/>
    <w:rsid w:val="009D6ECD"/>
    <w:rsid w:val="009E121B"/>
    <w:rsid w:val="00A36DEB"/>
    <w:rsid w:val="00A6052B"/>
    <w:rsid w:val="00A77FD2"/>
    <w:rsid w:val="00A847D4"/>
    <w:rsid w:val="00AA2F3E"/>
    <w:rsid w:val="00AD424B"/>
    <w:rsid w:val="00AD717D"/>
    <w:rsid w:val="00AE5655"/>
    <w:rsid w:val="00B27F47"/>
    <w:rsid w:val="00B340AC"/>
    <w:rsid w:val="00B54F4D"/>
    <w:rsid w:val="00B747CA"/>
    <w:rsid w:val="00BA4A91"/>
    <w:rsid w:val="00BB7B98"/>
    <w:rsid w:val="00BD6DE1"/>
    <w:rsid w:val="00C2710F"/>
    <w:rsid w:val="00C36FE1"/>
    <w:rsid w:val="00C73B50"/>
    <w:rsid w:val="00C852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A3182"/>
    <w:rsid w:val="00DC734B"/>
    <w:rsid w:val="00DD670F"/>
    <w:rsid w:val="00E06D41"/>
    <w:rsid w:val="00E26132"/>
    <w:rsid w:val="00E31A4F"/>
    <w:rsid w:val="00E37ECC"/>
    <w:rsid w:val="00E425F6"/>
    <w:rsid w:val="00EA1A06"/>
    <w:rsid w:val="00EA1D77"/>
    <w:rsid w:val="00EB2087"/>
    <w:rsid w:val="00ED7FB1"/>
    <w:rsid w:val="00F05A31"/>
    <w:rsid w:val="00F43B82"/>
    <w:rsid w:val="00F4507B"/>
    <w:rsid w:val="00F864AE"/>
    <w:rsid w:val="00F87275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413F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4224-9EFF-4D89-B0C7-5F728B453D8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C7884D36-2E65-4669-BE63-F0DB3FA6F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AB790-6D29-4A9E-89F2-46833657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636A7B-B50C-4959-A6F4-FE7F47A4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2024-10-10T03:23:00Z</dcterms:created>
  <dcterms:modified xsi:type="dcterms:W3CDTF">2024-10-10T03:25:00Z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